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4369" w14:textId="77777777" w:rsidR="00A9211E" w:rsidRDefault="00000000" w:rsidP="00572B98">
      <w:pPr>
        <w:spacing w:line="206" w:lineRule="auto"/>
        <w:jc w:val="center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Příloha č. 1</w:t>
      </w:r>
    </w:p>
    <w:p w14:paraId="0D6F045D" w14:textId="076ED521" w:rsidR="00A9211E" w:rsidRDefault="00000000" w:rsidP="00572B98">
      <w:pPr>
        <w:spacing w:before="144" w:line="304" w:lineRule="auto"/>
        <w:jc w:val="center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Podmínky ke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s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mlouv</w:t>
      </w:r>
      <w:r w:rsidR="00FB5A8D"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ě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 o dodávce vody a o odvádění odpadních vod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br/>
      </w:r>
      <w:r>
        <w:rPr>
          <w:rFonts w:ascii="Arial" w:hAnsi="Arial"/>
          <w:color w:val="000000"/>
          <w:sz w:val="20"/>
          <w:lang w:val="cs-CZ"/>
        </w:rPr>
        <w:t>(dále jen „podmínky“)</w:t>
      </w:r>
    </w:p>
    <w:p w14:paraId="770728F1" w14:textId="09A87D06" w:rsidR="00A9211E" w:rsidRDefault="00000000" w:rsidP="00572B98">
      <w:pPr>
        <w:spacing w:before="108"/>
        <w:ind w:left="3384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pro smlouvy uzavírané s platností od 1.</w:t>
      </w:r>
      <w:r w:rsidR="00FB5A8D">
        <w:rPr>
          <w:rFonts w:ascii="Arial" w:hAnsi="Arial"/>
          <w:color w:val="000000"/>
          <w:sz w:val="20"/>
          <w:lang w:val="cs-CZ"/>
        </w:rPr>
        <w:t>9</w:t>
      </w:r>
      <w:r>
        <w:rPr>
          <w:rFonts w:ascii="Arial" w:hAnsi="Arial"/>
          <w:color w:val="000000"/>
          <w:sz w:val="20"/>
          <w:lang w:val="cs-CZ"/>
        </w:rPr>
        <w:t>.20</w:t>
      </w:r>
      <w:r w:rsidR="00FB5A8D">
        <w:rPr>
          <w:rFonts w:ascii="Arial" w:hAnsi="Arial"/>
          <w:color w:val="000000"/>
          <w:sz w:val="20"/>
          <w:lang w:val="cs-CZ"/>
        </w:rPr>
        <w:t>23</w:t>
      </w:r>
    </w:p>
    <w:p w14:paraId="68BA987D" w14:textId="77777777" w:rsidR="00A9211E" w:rsidRDefault="00000000" w:rsidP="00572B98">
      <w:pPr>
        <w:spacing w:before="72"/>
        <w:jc w:val="center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I. Úvodní ustanovení</w:t>
      </w:r>
    </w:p>
    <w:p w14:paraId="5978E5D3" w14:textId="3CC8CB7A" w:rsidR="00A9211E" w:rsidRDefault="00000000" w:rsidP="00F3712B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firstLine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Tyto podmínky upravují vztahy mezi dodavatelem a odběratelem vznikající při dodávání vody a odvádění odpadních </w:t>
      </w:r>
      <w:r w:rsidR="00FB5A8D">
        <w:rPr>
          <w:rFonts w:ascii="Arial" w:hAnsi="Arial"/>
          <w:color w:val="000000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 xml:space="preserve">příp. srážkových (dále jen „odpadních“) vod a stávají se přílohou smlouvy o dodávce vody a o odvádění odpadních vod </w:t>
      </w:r>
      <w:r>
        <w:rPr>
          <w:rFonts w:ascii="Arial" w:hAnsi="Arial"/>
          <w:color w:val="000000"/>
          <w:spacing w:val="11"/>
          <w:sz w:val="20"/>
          <w:lang w:val="cs-CZ"/>
        </w:rPr>
        <w:t xml:space="preserve">(dále též „smlouva“) uzavřené mezi dodavatelem a odběratelem v souladu s ustanovením § 8 odst. 6 zákona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č. 274/2001 Sb., o vodovodech a kanalizacích pro veřejnou potřebu a o změně některých zákonů (zákon o vodovodech a </w:t>
      </w:r>
      <w:r>
        <w:rPr>
          <w:rFonts w:ascii="Arial" w:hAnsi="Arial"/>
          <w:color w:val="000000"/>
          <w:sz w:val="20"/>
          <w:lang w:val="cs-CZ"/>
        </w:rPr>
        <w:t>kanalizacích), v platném znění (dále též jen „zákon o vodovodech a kanalizacích“).</w:t>
      </w:r>
    </w:p>
    <w:p w14:paraId="0E15B782" w14:textId="77777777" w:rsidR="00A9211E" w:rsidRDefault="00000000" w:rsidP="00F3712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10"/>
          <w:sz w:val="20"/>
          <w:lang w:val="cs-CZ"/>
        </w:rPr>
      </w:pPr>
      <w:r>
        <w:rPr>
          <w:rFonts w:ascii="Arial" w:hAnsi="Arial"/>
          <w:color w:val="000000"/>
          <w:spacing w:val="10"/>
          <w:sz w:val="20"/>
          <w:lang w:val="cs-CZ"/>
        </w:rPr>
        <w:t xml:space="preserve">Dodavatel a odběratel se zavazují při plnění smlouvy postupovat v souladu s těmito podmínkami, smlouvou </w:t>
      </w:r>
      <w:r>
        <w:rPr>
          <w:rFonts w:ascii="Arial" w:hAnsi="Arial"/>
          <w:color w:val="000000"/>
          <w:sz w:val="20"/>
          <w:lang w:val="cs-CZ"/>
        </w:rPr>
        <w:t>a právními předpisy.</w:t>
      </w:r>
    </w:p>
    <w:p w14:paraId="722DA042" w14:textId="7ECCCC65" w:rsidR="00A9211E" w:rsidRDefault="00000000" w:rsidP="00F3712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Pokud se ustanovení podmínek nebo smlouvy odchyluje od právního pravidla, které nemá donucující povahu, má </w:t>
      </w:r>
      <w:r w:rsidR="00FB5A8D">
        <w:rPr>
          <w:rFonts w:ascii="Arial" w:hAnsi="Arial"/>
          <w:color w:val="000000"/>
          <w:spacing w:val="1"/>
          <w:sz w:val="20"/>
          <w:lang w:val="cs-CZ"/>
        </w:rPr>
        <w:t xml:space="preserve">  </w:t>
      </w:r>
      <w:r>
        <w:rPr>
          <w:rFonts w:ascii="Arial" w:hAnsi="Arial"/>
          <w:color w:val="000000"/>
          <w:sz w:val="20"/>
          <w:lang w:val="cs-CZ"/>
        </w:rPr>
        <w:t>přednost ustanovení těchto podmínek nebo smlouvy. Při rozporu ustanovení podmínek a smlouvy má přednost smlouva.</w:t>
      </w:r>
    </w:p>
    <w:p w14:paraId="5B6A005B" w14:textId="0BA8BA58" w:rsidR="00A9211E" w:rsidRDefault="00000000" w:rsidP="00F3712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Práva a povinnosti odběratele, zejm. při odečtech a výměnách měřidel,</w:t>
      </w:r>
      <w:r w:rsidR="00FB5A8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>může na místě samém vykonávat za odběratele jeho zástupce (člen domácnosti, nájemce a jiný uživatel, správce budovy, vedoucí provozovny apod.), a to</w:t>
      </w:r>
      <w:r w:rsidR="00FB5A8D">
        <w:rPr>
          <w:rFonts w:ascii="Arial" w:hAnsi="Arial"/>
          <w:color w:val="000000"/>
          <w:spacing w:val="-1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aniž by k tomu </w:t>
      </w:r>
      <w:r>
        <w:rPr>
          <w:rFonts w:ascii="Arial" w:hAnsi="Arial"/>
          <w:color w:val="000000"/>
          <w:sz w:val="20"/>
          <w:lang w:val="cs-CZ"/>
        </w:rPr>
        <w:t>musel být odběratelem výslovně zmocněn.</w:t>
      </w:r>
    </w:p>
    <w:p w14:paraId="0C9C90FB" w14:textId="77777777" w:rsidR="00A9211E" w:rsidRDefault="00000000" w:rsidP="00572B98">
      <w:pPr>
        <w:spacing w:before="108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II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.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D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odávka vody a odvádění odpadních vod</w:t>
      </w:r>
    </w:p>
    <w:p w14:paraId="6D72B291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108"/>
        <w:ind w:left="0" w:firstLine="72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Dodavatel se zavazuje pro odběratele zajistit dodávku vody z vodovodu v požadovaném množství a jakosti odpovídající </w:t>
      </w:r>
      <w:r>
        <w:rPr>
          <w:rFonts w:ascii="Arial" w:hAnsi="Arial"/>
          <w:color w:val="000000"/>
          <w:sz w:val="20"/>
          <w:lang w:val="cs-CZ"/>
        </w:rPr>
        <w:t>obecně platným právním předpisům a zajistit plynulé odvádění odpadních vod kanalizací.</w:t>
      </w:r>
    </w:p>
    <w:p w14:paraId="64394628" w14:textId="59CB779D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Do kanalizace může odběratel vypouštět pouze odpadní vody z nemovitosti specifikované ve smlouvě, a to v množství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míře znečištění stanovených v platném kanalizačním řádu dané lokality a ve smlouvě. Kanalizační řád je k dispozici na </w:t>
      </w:r>
      <w:r>
        <w:rPr>
          <w:rFonts w:ascii="Arial" w:hAnsi="Arial"/>
          <w:color w:val="000000"/>
          <w:spacing w:val="2"/>
          <w:sz w:val="20"/>
          <w:lang w:val="cs-CZ"/>
        </w:rPr>
        <w:t>místně příslušném vodoprávním úřadě, u vlastníka kanalizace, u dodavatele a na webových stránkách dodavatel</w:t>
      </w:r>
      <w:r w:rsidR="00FB5A8D">
        <w:rPr>
          <w:rFonts w:ascii="Arial" w:hAnsi="Arial"/>
          <w:color w:val="000000"/>
          <w:spacing w:val="2"/>
          <w:sz w:val="20"/>
          <w:lang w:val="cs-CZ"/>
        </w:rPr>
        <w:t>e: www.rozmitalptr.cz.</w:t>
      </w:r>
    </w:p>
    <w:p w14:paraId="04455283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V kanalizačním řádu jsou uvedeny standardní limity znečištění odpadních vod vypouštěných do kanalizace. Tyto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standardní limity jsou závazné pro všechny producenty odpadních vod napojené na kanalizaci, pokud nemají s jejím </w:t>
      </w:r>
      <w:r>
        <w:rPr>
          <w:rFonts w:ascii="Arial" w:hAnsi="Arial"/>
          <w:color w:val="000000"/>
          <w:spacing w:val="11"/>
          <w:sz w:val="20"/>
          <w:lang w:val="cs-CZ"/>
        </w:rPr>
        <w:t xml:space="preserve">provozovatelem smluvně sjednány limity specifické. Sjednání specifických limitů musí být řešeno dodatkem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ke smlouvě a doplněním a schválením přílohy kanalizačního řádu. Provozovatel kanalizace přitom takové vypouštění může </w:t>
      </w:r>
      <w:r>
        <w:rPr>
          <w:rFonts w:ascii="Arial" w:hAnsi="Arial"/>
          <w:color w:val="000000"/>
          <w:spacing w:val="16"/>
          <w:sz w:val="20"/>
          <w:lang w:val="cs-CZ"/>
        </w:rPr>
        <w:t xml:space="preserve">umožnit jen tehdy, neohrozí-li to provoz ČOV a likvidaci čistírenských kalů. Vypouštění odpadních vod </w:t>
      </w:r>
      <w:r>
        <w:rPr>
          <w:rFonts w:ascii="Arial" w:hAnsi="Arial"/>
          <w:color w:val="000000"/>
          <w:sz w:val="20"/>
          <w:lang w:val="cs-CZ"/>
        </w:rPr>
        <w:t>do kanalizace dle specifických limitů je pro konkrétního producenta zpravidla spojeno se zvláštním poplatkem.</w:t>
      </w:r>
    </w:p>
    <w:p w14:paraId="727B273B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Odvádění odpadních vod do kanalizace je možné pouze přes řádně zřízené kanalizační přípojky k tomuto účelu určené.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Vypouštění přes uliční vpusti nebo poklopy kanalizačních šachet je zakázáno. V případě, že je kanalizace ukončena </w:t>
      </w:r>
      <w:r>
        <w:rPr>
          <w:rFonts w:ascii="Arial" w:hAnsi="Arial"/>
          <w:color w:val="000000"/>
          <w:sz w:val="20"/>
          <w:lang w:val="cs-CZ"/>
        </w:rPr>
        <w:t>čistírnou odpadních vod, není dovoleno vypouštět do kanalizace odpadní vody přes septiky nebo obdobná zařízení.</w:t>
      </w:r>
    </w:p>
    <w:p w14:paraId="799CF2BF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 xml:space="preserve">Je zakázáno do kanalizace vypouštět závadné látky, které nejsou odpadními vodami, zejména: koncentrované ropné </w:t>
      </w:r>
      <w:r>
        <w:rPr>
          <w:rFonts w:ascii="Arial" w:hAnsi="Arial"/>
          <w:color w:val="000000"/>
          <w:spacing w:val="14"/>
          <w:sz w:val="20"/>
          <w:lang w:val="cs-CZ"/>
        </w:rPr>
        <w:t xml:space="preserve">látky, ředidla, organická rozpouštědla, nátěrové hmoty nebo jiné těkavé, výbušné a hořlavé látky, smažící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a fritovací oleje nebo tuky, jedy a žíraviny, posypové a jiné soli, koncentrované silážní šťávy, statková a průmyslová hnojiva, </w:t>
      </w:r>
      <w:r>
        <w:rPr>
          <w:rFonts w:ascii="Arial" w:hAnsi="Arial"/>
          <w:color w:val="000000"/>
          <w:sz w:val="20"/>
          <w:lang w:val="cs-CZ"/>
        </w:rPr>
        <w:t>přípravky na ochranu rostlin a hubení škůdců - pesticidy, látky radioaktivní nebo infekční v koncentrované formě, látky intenzivně barevné, látky s nadměrným zápachem či dusivé, pevné předměty např. hadry, plasty, láhve, obaly, provazy, injekční stříkačky apod.</w:t>
      </w:r>
    </w:p>
    <w:p w14:paraId="15199462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Uliční uzávěry vodovodních přípojek jsou v majetku vlastníka vodovodu. Odběrateli je zakázáno jakkoli manipulovat s </w:t>
      </w:r>
      <w:r>
        <w:rPr>
          <w:rFonts w:ascii="Arial" w:hAnsi="Arial"/>
          <w:color w:val="000000"/>
          <w:sz w:val="20"/>
          <w:lang w:val="cs-CZ"/>
        </w:rPr>
        <w:t>uličními uzávěry či umožnit manipulaci jinému.</w:t>
      </w:r>
    </w:p>
    <w:p w14:paraId="115E24FC" w14:textId="77777777" w:rsidR="00A9211E" w:rsidRDefault="00000000" w:rsidP="00F3712B">
      <w:pPr>
        <w:numPr>
          <w:ilvl w:val="0"/>
          <w:numId w:val="2"/>
        </w:numPr>
        <w:tabs>
          <w:tab w:val="decimal" w:pos="288"/>
        </w:tabs>
        <w:spacing w:before="36"/>
        <w:ind w:left="0" w:firstLine="72"/>
        <w:jc w:val="both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V případě přerušení nebo omezení dodávky vody nebo odvádění odpadních vod z důvodů na straně odběratele bude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dodávka vody nebo odvádění odpadních vod obnoveno na žádost odběratele, a to podle provozních možností dodavatele,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zpravidla do dvou pracovních dnů po zaplacení všech splatných pohledávek a náhrady nákladů spojených s přerušením a </w:t>
      </w:r>
      <w:r>
        <w:rPr>
          <w:rFonts w:ascii="Arial" w:hAnsi="Arial"/>
          <w:color w:val="000000"/>
          <w:sz w:val="20"/>
          <w:lang w:val="cs-CZ"/>
        </w:rPr>
        <w:t>obnovením dodávky vody a odvádění odpadních vod, popřípadě odstranění důvodů, které k přerušení vedly.</w:t>
      </w:r>
    </w:p>
    <w:p w14:paraId="63BD7F8F" w14:textId="77777777" w:rsidR="00A9211E" w:rsidRDefault="00000000" w:rsidP="00572B98">
      <w:pPr>
        <w:spacing w:before="144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III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. Některá ujednání týkající se měření dodávané vody a odváděných odpadních vod</w:t>
      </w:r>
    </w:p>
    <w:p w14:paraId="77D36AA3" w14:textId="77777777" w:rsidR="00A9211E" w:rsidRDefault="00000000" w:rsidP="00F3712B">
      <w:pPr>
        <w:numPr>
          <w:ilvl w:val="0"/>
          <w:numId w:val="3"/>
        </w:numPr>
        <w:tabs>
          <w:tab w:val="clear" w:pos="216"/>
          <w:tab w:val="decimal" w:pos="288"/>
        </w:tabs>
        <w:spacing w:before="108"/>
        <w:ind w:left="0" w:firstLine="72"/>
        <w:jc w:val="both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Množství dodané vody se měří měřidlem ve vlastnictví vlastníka vodovodu, které je stanoveným měřidlem podle zákona č. 505/1990 Sb., o metrologii, v platném znění (dále jen „zákon o metrologii“), pokud smlouva nestanoví jinak.</w:t>
      </w:r>
    </w:p>
    <w:p w14:paraId="04AED951" w14:textId="6DB89C2C" w:rsidR="00A9211E" w:rsidRDefault="00000000" w:rsidP="00F3712B">
      <w:pPr>
        <w:numPr>
          <w:ilvl w:val="0"/>
          <w:numId w:val="3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Pokud množství odpadních vod odvedených do kanalizace měří odběratel svým měřidlem, toto měřidlo podléhá kontrole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posouzení funkční způsobilosti měřícího systému pro měření průtoků a proteklého množství (dále jen „posouzení funkční </w:t>
      </w:r>
      <w:r>
        <w:rPr>
          <w:rFonts w:ascii="Arial" w:hAnsi="Arial"/>
          <w:color w:val="000000"/>
          <w:sz w:val="20"/>
          <w:lang w:val="cs-CZ"/>
        </w:rPr>
        <w:t xml:space="preserve">způsobilosti“) podle zvláštních předpisů, jde-li o nestanovené měřidlo, nebo úřednímu ověření, jde-li o stanovené měřidlo. 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U nestanovených měřidel je odběratel povinen zajistit pravidelné posouzení funkční způsobilosti měřidla v 6letých </w:t>
      </w:r>
      <w:r>
        <w:rPr>
          <w:rFonts w:ascii="Arial" w:hAnsi="Arial"/>
          <w:color w:val="000000"/>
          <w:sz w:val="20"/>
          <w:lang w:val="cs-CZ"/>
        </w:rPr>
        <w:t xml:space="preserve">intervalech. Odběratel je povinen zajistit, aby měřidlo mělo platné úřední ověření nebo posouzení funkční způsobilosti po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celou dobu trvání smlouvy. Na vyžádání je odběratel povinen doložit dodavateli protokol o posouzení funkční způsobilosti, </w:t>
      </w:r>
      <w:r>
        <w:rPr>
          <w:rFonts w:ascii="Arial" w:hAnsi="Arial"/>
          <w:color w:val="000000"/>
          <w:sz w:val="20"/>
          <w:lang w:val="cs-CZ"/>
        </w:rPr>
        <w:t>vypracovaný úředním měřičem. Posouzení funkční způsobilosti nebo úřední ověření zajišťuje na své náklady odběratel.</w:t>
      </w:r>
    </w:p>
    <w:p w14:paraId="42D3B3B2" w14:textId="77777777" w:rsidR="00A9211E" w:rsidRDefault="00000000" w:rsidP="00F3712B">
      <w:pPr>
        <w:numPr>
          <w:ilvl w:val="0"/>
          <w:numId w:val="3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Odběratel je povinen umožnit dodavateli na jeho žádost přístup k měřidlu, k přípojce a zařízení vnitřního vodovodu nebo </w:t>
      </w:r>
      <w:r>
        <w:rPr>
          <w:rFonts w:ascii="Arial" w:hAnsi="Arial"/>
          <w:color w:val="000000"/>
          <w:sz w:val="20"/>
          <w:lang w:val="cs-CZ"/>
        </w:rPr>
        <w:t>kanalizace.</w:t>
      </w:r>
    </w:p>
    <w:p w14:paraId="4EA18124" w14:textId="77777777" w:rsidR="00A9211E" w:rsidRDefault="00000000" w:rsidP="00F3712B">
      <w:pPr>
        <w:numPr>
          <w:ilvl w:val="0"/>
          <w:numId w:val="3"/>
        </w:numPr>
        <w:tabs>
          <w:tab w:val="decimal" w:pos="432"/>
        </w:tabs>
        <w:spacing w:before="72"/>
        <w:ind w:left="0" w:firstLine="72"/>
        <w:jc w:val="both"/>
        <w:rPr>
          <w:rFonts w:ascii="Arial" w:hAnsi="Arial"/>
          <w:color w:val="000000"/>
          <w:spacing w:val="19"/>
          <w:sz w:val="20"/>
          <w:lang w:val="cs-CZ"/>
        </w:rPr>
      </w:pPr>
      <w:r>
        <w:rPr>
          <w:rFonts w:ascii="Arial" w:hAnsi="Arial"/>
          <w:color w:val="000000"/>
          <w:spacing w:val="19"/>
          <w:sz w:val="20"/>
          <w:lang w:val="cs-CZ"/>
        </w:rPr>
        <w:t xml:space="preserve">Pokud je měřidlo umístěno v šachtě, je odběratel povinen zajistit, aby tato šachta byla přístupná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a odvodněná. Je-li šachta umístěna na místě veřejnosti přístupném, odběratel má právo po dohodě s dodavatelem šachtu </w:t>
      </w:r>
      <w:r>
        <w:rPr>
          <w:rFonts w:ascii="Arial" w:hAnsi="Arial"/>
          <w:color w:val="000000"/>
          <w:spacing w:val="3"/>
          <w:sz w:val="20"/>
          <w:lang w:val="cs-CZ"/>
        </w:rPr>
        <w:t>zajistit proti neoprávněnému vniknutí; tím není dotčena povinnost jejího zpřístupňování dodavateli. Pokud vodovodní</w:t>
      </w:r>
    </w:p>
    <w:p w14:paraId="24E414E0" w14:textId="77777777" w:rsidR="00A9211E" w:rsidRDefault="00A9211E" w:rsidP="00F3712B">
      <w:pPr>
        <w:jc w:val="both"/>
        <w:sectPr w:rsidR="00A9211E">
          <w:pgSz w:w="11918" w:h="16854"/>
          <w:pgMar w:top="856" w:right="494" w:bottom="169" w:left="564" w:header="720" w:footer="720" w:gutter="0"/>
          <w:cols w:space="708"/>
        </w:sectPr>
      </w:pPr>
    </w:p>
    <w:p w14:paraId="5D01A433" w14:textId="77777777" w:rsidR="00A9211E" w:rsidRDefault="00000000" w:rsidP="00F3712B">
      <w:pPr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lastRenderedPageBreak/>
        <w:t>přípojka nebo vnitřní vodovod nevyhovuje požadavkům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 pro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měřidla, je odběratel povinen na v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yzvání dodavatele provést v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přiměřené lhůtě potřebné úpravy.</w:t>
      </w:r>
    </w:p>
    <w:p w14:paraId="230515AA" w14:textId="77777777" w:rsidR="00A9211E" w:rsidRDefault="00000000" w:rsidP="00F3712B">
      <w:pPr>
        <w:numPr>
          <w:ilvl w:val="0"/>
          <w:numId w:val="4"/>
        </w:numPr>
        <w:tabs>
          <w:tab w:val="clear" w:pos="216"/>
          <w:tab w:val="decimal" w:pos="288"/>
        </w:tabs>
        <w:spacing w:before="36"/>
        <w:ind w:left="0" w:firstLine="72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Dodavatel má právo jednotlivé části měřidla (a to i měřidla ve vlastnictví odběratele) zajistit proti neoprávněné manipulac</w:t>
      </w:r>
      <w:r>
        <w:rPr>
          <w:rFonts w:ascii="Arial" w:hAnsi="Arial"/>
          <w:color w:val="000000"/>
          <w:spacing w:val="-6"/>
          <w:sz w:val="20"/>
          <w:lang w:val="cs-CZ"/>
        </w:rPr>
        <w:t>i.</w:t>
      </w:r>
    </w:p>
    <w:p w14:paraId="151CEC22" w14:textId="77777777" w:rsidR="00A9211E" w:rsidRDefault="00000000" w:rsidP="00F3712B">
      <w:pPr>
        <w:numPr>
          <w:ilvl w:val="0"/>
          <w:numId w:val="4"/>
        </w:numPr>
        <w:tabs>
          <w:tab w:val="clear" w:pos="216"/>
          <w:tab w:val="decimal" w:pos="288"/>
          <w:tab w:val="left" w:pos="1360"/>
          <w:tab w:val="left" w:pos="2301"/>
          <w:tab w:val="right" w:pos="5786"/>
          <w:tab w:val="left" w:pos="6103"/>
          <w:tab w:val="left" w:pos="7437"/>
          <w:tab w:val="right" w:pos="9789"/>
          <w:tab w:val="left" w:pos="10092"/>
        </w:tabs>
        <w:spacing w:before="72"/>
        <w:ind w:left="0" w:firstLine="7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>Pokud je potřeba měřidl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o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pro měření odvedených odpadních vod do kanalizace dodavatele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demontovat za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účelem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úředního ověření, je odběratel povinen informovat pracovníky dodavatele, kteří jsou povinni ověřit neporušenost plomb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a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zajistit odečet měřidla. Po osazení měřidla s platným úředním ověřením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dojde k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jeho zaplombování pracovníky dodavatele na náklady odběratele. Během doby, kdy je měřidlo demontováno, nebude odběratel odvádět odpadní vodu do kanalizace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bez písemného souhlasu dodavatele. U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nestanoveného měřidla je odběratel povinen před zahájením posouzení funkční 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způsobilosti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měřidla</w:t>
      </w:r>
      <w:r>
        <w:rPr>
          <w:rFonts w:ascii="Arial" w:hAnsi="Arial"/>
          <w:color w:val="00000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informovat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pracovníky dodavatele,</w:t>
      </w:r>
      <w:r>
        <w:rPr>
          <w:rFonts w:ascii="Arial" w:hAnsi="Arial"/>
          <w:color w:val="000000"/>
          <w:w w:val="105"/>
          <w:sz w:val="20"/>
          <w:lang w:val="cs-CZ"/>
        </w:rPr>
        <w:tab/>
        <w:t>kteří jsou</w:t>
      </w:r>
      <w:r>
        <w:rPr>
          <w:rFonts w:ascii="Arial" w:hAnsi="Arial"/>
          <w:color w:val="00000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povinni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zajistit odečet</w:t>
      </w:r>
      <w:r>
        <w:rPr>
          <w:rFonts w:ascii="Arial" w:hAnsi="Arial"/>
          <w:color w:val="00000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9"/>
          <w:w w:val="105"/>
          <w:sz w:val="20"/>
          <w:lang w:val="cs-CZ"/>
        </w:rPr>
        <w:t>měřidla.</w:t>
      </w:r>
      <w:r>
        <w:rPr>
          <w:rFonts w:ascii="Arial" w:hAnsi="Arial"/>
          <w:color w:val="000000"/>
          <w:spacing w:val="-9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9"/>
          <w:sz w:val="20"/>
          <w:lang w:val="cs-CZ"/>
        </w:rPr>
        <w:br/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Po dokončení posouzení funkční způsobilosti měřidla,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je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odběratel povinen neprodleně informovat pracovníky dodavatele,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kteří jsou povinni zajistit odečet měřidla a případně zajistit měřidlo či jeho části proti neoprávněné manipulaci.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Pokud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dodavatel zjistí porušení výše uvedeného postupu, je oprávněn uplatnit vůči odběra</w:t>
      </w:r>
      <w:r>
        <w:rPr>
          <w:rFonts w:ascii="Arial" w:hAnsi="Arial"/>
          <w:color w:val="000000"/>
          <w:spacing w:val="-2"/>
          <w:sz w:val="20"/>
          <w:lang w:val="cs-CZ"/>
        </w:rPr>
        <w:t>teli smluvní pokutu v souladu s odst. I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V.1. těchto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podmínek.</w:t>
      </w:r>
    </w:p>
    <w:p w14:paraId="119B91DF" w14:textId="745806E9" w:rsidR="00A9211E" w:rsidRDefault="00000000" w:rsidP="00F3712B">
      <w:pPr>
        <w:numPr>
          <w:ilvl w:val="0"/>
          <w:numId w:val="4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Jakýkoliv zásah do měřidla ze strany jin</w:t>
      </w:r>
      <w:r w:rsidR="0013339B">
        <w:rPr>
          <w:rFonts w:ascii="Arial" w:hAnsi="Arial"/>
          <w:color w:val="000000"/>
          <w:spacing w:val="-4"/>
          <w:w w:val="105"/>
          <w:sz w:val="20"/>
          <w:lang w:val="cs-CZ"/>
        </w:rPr>
        <w:t>é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než dodavatele je nepřípustný. Odběratel je povinen měřidlo, jeho plomby,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hlavní uzávěr vody, přípojku a další technická zařízení zajistit proti neoprávněné manipulaci, chránit před poškozením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(zejm. před zásahem jiné osoby, působením mechanické síly, ohněm, mrazem apod.) a bez odkladu oznámit dodavateli jejich závady či závady v měření. Byla</w:t>
      </w:r>
      <w:r>
        <w:rPr>
          <w:rFonts w:ascii="Arial" w:hAnsi="Arial"/>
          <w:color w:val="000000"/>
          <w:spacing w:val="-4"/>
          <w:sz w:val="20"/>
          <w:lang w:val="cs-CZ"/>
        </w:rPr>
        <w:t>-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li nefunkčnost měřidla nebo poškození měřidla (zvláště mrazem) způsobena nedostatečnou ochranou měřidla odběratelem, hradí újmu a náklady spojené s výměnou měřidla odběratel.</w:t>
      </w:r>
    </w:p>
    <w:p w14:paraId="1837D05C" w14:textId="77777777" w:rsidR="00A9211E" w:rsidRDefault="00000000" w:rsidP="00F3712B">
      <w:pPr>
        <w:numPr>
          <w:ilvl w:val="0"/>
          <w:numId w:val="4"/>
        </w:numPr>
        <w:tabs>
          <w:tab w:val="decimal" w:pos="360"/>
        </w:tabs>
        <w:spacing w:before="72"/>
        <w:ind w:left="0" w:firstLine="72"/>
        <w:jc w:val="both"/>
        <w:rPr>
          <w:rFonts w:ascii="Arial" w:hAnsi="Arial"/>
          <w:color w:val="000000"/>
          <w:spacing w:val="2"/>
          <w:w w:val="105"/>
          <w:sz w:val="20"/>
          <w:lang w:val="cs-CZ"/>
        </w:rPr>
      </w:pPr>
      <w:r>
        <w:rPr>
          <w:rFonts w:ascii="Arial" w:hAnsi="Arial"/>
          <w:color w:val="000000"/>
          <w:spacing w:val="2"/>
          <w:w w:val="105"/>
          <w:sz w:val="20"/>
          <w:lang w:val="cs-CZ"/>
        </w:rPr>
        <w:t>Obdobným způsobem se postupuje i při osazení jiných měřidel ve vlastnictví odběratele, zejména u měřidel,</w:t>
      </w:r>
      <w:r>
        <w:rPr>
          <w:rFonts w:ascii="Arial" w:hAnsi="Arial"/>
          <w:color w:val="000000"/>
          <w:spacing w:val="2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na jejichž základě ponižuje dodavatel odběrateli stočné.</w:t>
      </w:r>
    </w:p>
    <w:p w14:paraId="304123AD" w14:textId="77777777" w:rsidR="00A9211E" w:rsidRDefault="00000000" w:rsidP="00F3712B">
      <w:pPr>
        <w:numPr>
          <w:ilvl w:val="0"/>
          <w:numId w:val="4"/>
        </w:numPr>
        <w:tabs>
          <w:tab w:val="decimal" w:pos="360"/>
        </w:tabs>
        <w:spacing w:before="36"/>
        <w:ind w:left="0" w:firstLine="72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Pokud dodavatel zjistí porušení výše uvedených pravidel, je oprávněn odmítnout fakturaci stočného dle měřidla.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Fakturace stočného bude poté provedena v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souladu se zákonem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o vodovodech a kanalizacích a prováděcí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mi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předpis</w:t>
      </w:r>
      <w:r>
        <w:rPr>
          <w:rFonts w:ascii="Arial" w:hAnsi="Arial"/>
          <w:color w:val="000000"/>
          <w:spacing w:val="-2"/>
          <w:sz w:val="20"/>
          <w:lang w:val="cs-CZ"/>
        </w:rPr>
        <w:t>y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,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vše v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platném znění.</w:t>
      </w:r>
    </w:p>
    <w:p w14:paraId="4E027DE9" w14:textId="232AF9C4" w:rsidR="00A9211E" w:rsidRDefault="00000000" w:rsidP="00F3712B">
      <w:pPr>
        <w:numPr>
          <w:ilvl w:val="0"/>
          <w:numId w:val="4"/>
        </w:numPr>
        <w:tabs>
          <w:tab w:val="decimal" w:pos="432"/>
          <w:tab w:val="left" w:pos="751"/>
          <w:tab w:val="left" w:pos="1874"/>
          <w:tab w:val="left" w:pos="3223"/>
          <w:tab w:val="left" w:pos="3967"/>
          <w:tab w:val="right" w:pos="5786"/>
          <w:tab w:val="left" w:pos="6103"/>
          <w:tab w:val="left" w:pos="7543"/>
          <w:tab w:val="right" w:pos="9789"/>
          <w:tab w:val="left" w:pos="10092"/>
        </w:tabs>
        <w:spacing w:before="72"/>
        <w:ind w:left="0" w:firstLine="72"/>
        <w:jc w:val="both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Termín odečtu měřidla 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stanovuje dodavatel. Pokud není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>měřidlo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 v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době odečtu přístupné, je odběratel povinen ohlásit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dodavateli přesný stav počitadla měřidla (dále jen „samoodečet“) do pěti dnů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. Pokud tak neučiní, je povinen umožnit pracovníkům dodavatel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e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přístup k měřidlu,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a to v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termínu, o kterém dodavatel odběratele předem vyrozumí, jinak může dodavatel dodávku vody či odvádění odpadních </w:t>
      </w:r>
      <w:r>
        <w:rPr>
          <w:rFonts w:ascii="Arial" w:hAnsi="Arial"/>
          <w:color w:val="000000"/>
          <w:sz w:val="20"/>
          <w:lang w:val="cs-CZ"/>
        </w:rPr>
        <w:t>vod</w:t>
      </w:r>
      <w:r w:rsidR="0013339B">
        <w:rPr>
          <w:rFonts w:ascii="Arial" w:hAnsi="Arial"/>
          <w:color w:val="00000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přerušit</w:t>
      </w:r>
      <w:r>
        <w:rPr>
          <w:rFonts w:ascii="Arial" w:hAnsi="Arial"/>
          <w:color w:val="000000"/>
          <w:spacing w:val="-10"/>
          <w:sz w:val="20"/>
          <w:lang w:val="cs-CZ"/>
        </w:rPr>
        <w:t>.</w:t>
      </w:r>
      <w:r>
        <w:rPr>
          <w:rFonts w:ascii="Arial" w:hAnsi="Arial"/>
          <w:color w:val="000000"/>
          <w:spacing w:val="-10"/>
          <w:sz w:val="20"/>
          <w:lang w:val="cs-CZ"/>
        </w:rPr>
        <w:tab/>
      </w:r>
      <w:r w:rsidR="0013339B">
        <w:rPr>
          <w:rFonts w:ascii="Arial" w:hAnsi="Arial"/>
          <w:color w:val="000000"/>
          <w:spacing w:val="-10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>Dodavatel</w:t>
      </w:r>
      <w:r w:rsidR="0013339B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není</w:t>
      </w:r>
      <w:r w:rsidR="0013339B">
        <w:rPr>
          <w:rFonts w:ascii="Arial" w:hAnsi="Arial"/>
          <w:color w:val="000000"/>
          <w:spacing w:val="-10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>povinen</w:t>
      </w:r>
      <w:r w:rsidR="0013339B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>přijmout</w:t>
      </w:r>
      <w:r w:rsidR="0013339B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opakovaný</w:t>
      </w:r>
      <w:r w:rsidR="0013339B"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samoodečet.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14"/>
          <w:w w:val="105"/>
          <w:sz w:val="20"/>
          <w:lang w:val="cs-CZ"/>
        </w:rPr>
        <w:t>Odečet</w:t>
      </w:r>
      <w:r w:rsidR="0013339B">
        <w:rPr>
          <w:rFonts w:ascii="Arial" w:hAnsi="Arial"/>
          <w:color w:val="000000"/>
          <w:spacing w:val="-14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měřidla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ve vlastnictví odběratele a následná fakturace jsou prováděny na náklady odběratele.</w:t>
      </w:r>
    </w:p>
    <w:p w14:paraId="50A53A38" w14:textId="77777777" w:rsidR="00A9211E" w:rsidRDefault="00000000" w:rsidP="00F3712B">
      <w:pPr>
        <w:numPr>
          <w:ilvl w:val="0"/>
          <w:numId w:val="4"/>
        </w:numPr>
        <w:tabs>
          <w:tab w:val="decimal" w:pos="432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Má-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li odběratel pochybnosti o správnosti měření nebo zjistí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-li závadu na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měřidle vlastníka vodovo</w:t>
      </w:r>
      <w:r>
        <w:rPr>
          <w:rFonts w:ascii="Arial" w:hAnsi="Arial"/>
          <w:color w:val="000000"/>
          <w:spacing w:val="-4"/>
          <w:sz w:val="20"/>
          <w:lang w:val="cs-CZ"/>
        </w:rPr>
        <w:t>du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, má právo požádat o jeho přezkoušení. Toto právo lze uplatnit nejpozději při výměně měřidla. Žádost o přezkoušení měřidla nezprošťuje odběratele povinnosti včas zaplatit dlužné vodné a stočné.</w:t>
      </w:r>
    </w:p>
    <w:p w14:paraId="6DB769BB" w14:textId="77777777" w:rsidR="00A9211E" w:rsidRDefault="00000000" w:rsidP="00F3712B">
      <w:pPr>
        <w:numPr>
          <w:ilvl w:val="0"/>
          <w:numId w:val="4"/>
        </w:numPr>
        <w:tabs>
          <w:tab w:val="decimal" w:pos="432"/>
        </w:tabs>
        <w:spacing w:before="36"/>
        <w:ind w:left="0" w:firstLine="72"/>
        <w:jc w:val="both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>Má-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li dodavatel pochybnosti o správnosti měření nebo zji</w:t>
      </w:r>
      <w:r>
        <w:rPr>
          <w:rFonts w:ascii="Arial" w:hAnsi="Arial"/>
          <w:color w:val="000000"/>
          <w:spacing w:val="-5"/>
          <w:sz w:val="20"/>
          <w:lang w:val="cs-CZ"/>
        </w:rPr>
        <w:t>stí-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li závadu na měřidle ve vlastnictví odběratele, má právo </w:t>
      </w:r>
      <w:r>
        <w:rPr>
          <w:rFonts w:ascii="Arial" w:hAnsi="Arial"/>
          <w:color w:val="000000"/>
          <w:spacing w:val="6"/>
          <w:w w:val="105"/>
          <w:sz w:val="20"/>
          <w:lang w:val="cs-CZ"/>
        </w:rPr>
        <w:t>požádat o jeho přezkoušení. Odběratel je povinen na základě písemné žádosti dodavatele zajistit do 30 dnů</w:t>
      </w:r>
      <w:r>
        <w:rPr>
          <w:rFonts w:ascii="Arial" w:hAnsi="Arial"/>
          <w:color w:val="000000"/>
          <w:spacing w:val="6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od doručení žádosti přezkoušení měřidla u autorizované zkušebny nebo zajistit provedení posouzení funkční způsobilosti úředním měřičem.</w:t>
      </w:r>
    </w:p>
    <w:p w14:paraId="72D14191" w14:textId="64AC90CB" w:rsidR="00A9211E" w:rsidRDefault="00000000" w:rsidP="00F3712B">
      <w:pPr>
        <w:numPr>
          <w:ilvl w:val="0"/>
          <w:numId w:val="4"/>
        </w:numPr>
        <w:tabs>
          <w:tab w:val="decimal" w:pos="432"/>
        </w:tabs>
        <w:spacing w:before="72"/>
        <w:ind w:left="0" w:firstLine="72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Pokud je součástí vodovodní přípojky a vodoměrné 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sestavy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požární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 obtok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, lze</w:t>
      </w:r>
      <w:r>
        <w:rPr>
          <w:rFonts w:ascii="Arial" w:hAnsi="Arial"/>
          <w:color w:val="000000"/>
          <w:spacing w:val="-6"/>
          <w:sz w:val="20"/>
          <w:lang w:val="cs-CZ"/>
        </w:rPr>
        <w:t xml:space="preserve"> ho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využívat výhradně pro přímé hašení </w:t>
      </w:r>
      <w:r>
        <w:rPr>
          <w:rFonts w:ascii="Arial" w:hAnsi="Arial"/>
          <w:color w:val="000000"/>
          <w:spacing w:val="9"/>
          <w:w w:val="105"/>
          <w:sz w:val="20"/>
          <w:lang w:val="cs-CZ"/>
        </w:rPr>
        <w:t xml:space="preserve">požáru nebo při požárních </w:t>
      </w:r>
      <w:r w:rsidR="00572B98">
        <w:rPr>
          <w:rFonts w:ascii="Arial" w:hAnsi="Arial"/>
          <w:color w:val="000000"/>
          <w:spacing w:val="9"/>
          <w:w w:val="105"/>
          <w:sz w:val="20"/>
          <w:lang w:val="cs-CZ"/>
        </w:rPr>
        <w:t>revizích</w:t>
      </w:r>
      <w:r>
        <w:rPr>
          <w:rFonts w:ascii="Arial" w:hAnsi="Arial"/>
          <w:color w:val="000000"/>
          <w:spacing w:val="9"/>
          <w:w w:val="105"/>
          <w:sz w:val="20"/>
          <w:lang w:val="cs-CZ"/>
        </w:rPr>
        <w:t xml:space="preserve"> a to výlučně osobou k tomu oprávněnou. Pokud dojde k tomuto využití</w:t>
      </w:r>
      <w:r>
        <w:rPr>
          <w:rFonts w:ascii="Arial" w:hAnsi="Arial"/>
          <w:color w:val="000000"/>
          <w:spacing w:val="9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a v souvislosti s tím k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porušení plomby, je odběratel povinen tuto skutečnost bezprostředně po porušení plomby oznámit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písemně dodavateli. Pokud tak neučiní, nebo dojde k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porušení plomby z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jiných důvodů, je toto porušením ustanovení smlouvy a dodavatel je oprávněn uplatnit vůči odběrateli smluvní pokutu v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souladu s odst. IV.1.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těchto podmínek.</w:t>
      </w:r>
    </w:p>
    <w:p w14:paraId="60CD3988" w14:textId="77777777" w:rsidR="00A9211E" w:rsidRDefault="00000000" w:rsidP="00572B98">
      <w:pPr>
        <w:spacing w:before="396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IV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. Ostatní podmínky</w:t>
      </w:r>
    </w:p>
    <w:p w14:paraId="3C24F8F0" w14:textId="77777777" w:rsidR="00A9211E" w:rsidRDefault="00000000" w:rsidP="00F3712B">
      <w:pPr>
        <w:numPr>
          <w:ilvl w:val="0"/>
          <w:numId w:val="5"/>
        </w:numPr>
        <w:tabs>
          <w:tab w:val="clear" w:pos="216"/>
          <w:tab w:val="decimal" w:pos="288"/>
        </w:tabs>
        <w:spacing w:before="108"/>
        <w:ind w:left="0" w:firstLine="72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Odběratel je povinen dodavateli nahradit náklady, které mu vzniknou v</w:t>
      </w:r>
      <w:r>
        <w:rPr>
          <w:rFonts w:ascii="Arial" w:hAnsi="Arial"/>
          <w:color w:val="000000"/>
          <w:spacing w:val="-5"/>
          <w:sz w:val="20"/>
          <w:lang w:val="cs-CZ"/>
        </w:rPr>
        <w:t xml:space="preserve"> souvislosti s upomínáním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a vymáháním dluhu, </w:t>
      </w:r>
      <w:r>
        <w:rPr>
          <w:rFonts w:ascii="Arial" w:hAnsi="Arial"/>
          <w:color w:val="000000"/>
          <w:spacing w:val="7"/>
          <w:w w:val="105"/>
          <w:sz w:val="20"/>
          <w:lang w:val="cs-CZ"/>
        </w:rPr>
        <w:t>zejména náklady osobní a věcné, a odměny vyplacené třetím osobám, a to ve fázi</w:t>
      </w:r>
      <w:r>
        <w:rPr>
          <w:rFonts w:ascii="Arial" w:hAnsi="Arial"/>
          <w:color w:val="000000"/>
          <w:spacing w:val="7"/>
          <w:sz w:val="20"/>
          <w:lang w:val="cs-CZ"/>
        </w:rPr>
        <w:t xml:space="preserve"> mimosoudního vymáhání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ve výši dle platného ceníku dodavatele, který je k dispozici </w:t>
      </w:r>
      <w:r>
        <w:rPr>
          <w:rFonts w:ascii="Arial" w:hAnsi="Arial"/>
          <w:color w:val="000000"/>
          <w:spacing w:val="-7"/>
          <w:sz w:val="20"/>
          <w:lang w:val="cs-CZ"/>
        </w:rPr>
        <w:t xml:space="preserve">u dodavatele 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a ve fázi soudního vymáhání ve výši dle rozhodnutí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věcně a místně příslušného soudu</w:t>
      </w:r>
      <w:r>
        <w:rPr>
          <w:rFonts w:ascii="Arial" w:hAnsi="Arial"/>
          <w:color w:val="000000"/>
          <w:spacing w:val="-5"/>
          <w:sz w:val="20"/>
          <w:lang w:val="cs-CZ"/>
        </w:rPr>
        <w:t>.</w:t>
      </w:r>
    </w:p>
    <w:p w14:paraId="716EE38E" w14:textId="77777777" w:rsidR="00A9211E" w:rsidRDefault="00000000" w:rsidP="00F3712B">
      <w:pPr>
        <w:numPr>
          <w:ilvl w:val="0"/>
          <w:numId w:val="5"/>
        </w:numPr>
        <w:tabs>
          <w:tab w:val="clear" w:pos="216"/>
          <w:tab w:val="decimal" w:pos="288"/>
        </w:tabs>
        <w:spacing w:before="72"/>
        <w:ind w:left="0" w:firstLine="7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Pokud odběratel zmaří doručení doporučené zásilky dodavatele tím, že ji odmítne převzít či tuto nevyzvedne v úložní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době nebo neoznámil dodavateli jinou adresu pro doručování, má se za to, že zásilka je doručena dnem, kdy byla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doručovatelem vrácena odesílateli (dodavateli).</w:t>
      </w:r>
    </w:p>
    <w:p w14:paraId="461CACA8" w14:textId="77777777" w:rsidR="00A9211E" w:rsidRDefault="00000000" w:rsidP="00F3712B">
      <w:pPr>
        <w:numPr>
          <w:ilvl w:val="0"/>
          <w:numId w:val="5"/>
        </w:numPr>
        <w:tabs>
          <w:tab w:val="clear" w:pos="216"/>
          <w:tab w:val="decimal" w:pos="288"/>
        </w:tabs>
        <w:spacing w:before="36"/>
        <w:ind w:left="0" w:firstLine="72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Dle vzájemné dohody účastníků </w:t>
      </w:r>
      <w:r>
        <w:rPr>
          <w:rFonts w:ascii="Arial" w:hAnsi="Arial"/>
          <w:color w:val="000000"/>
          <w:spacing w:val="-2"/>
          <w:sz w:val="20"/>
          <w:lang w:val="cs-CZ"/>
        </w:rPr>
        <w:t>s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mlouvy platí, že pokud v době trvání platnosti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smlouvy pozbude dodavatel právo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uzavírat smluvní vztahy s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odběrateli, bude mít vlastník vodovodu a kanalizace nebo jím pověřená osoba stejná práva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 a </w:t>
      </w:r>
      <w:r>
        <w:rPr>
          <w:rFonts w:ascii="Arial" w:hAnsi="Arial"/>
          <w:color w:val="000000"/>
          <w:spacing w:val="-2"/>
          <w:sz w:val="20"/>
          <w:lang w:val="cs-CZ"/>
        </w:rPr>
        <w:t>povinnosti ze smlouvy jako dodavatel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, a to okamžikem, kdy se </w:t>
      </w:r>
      <w:r>
        <w:rPr>
          <w:rFonts w:ascii="Arial" w:hAnsi="Arial"/>
          <w:color w:val="000000"/>
          <w:spacing w:val="-2"/>
          <w:sz w:val="20"/>
          <w:lang w:val="cs-CZ"/>
        </w:rPr>
        <w:t>s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mlouvou projeví souhlas. Pokud svůj souhlas neprojeví, </w:t>
      </w:r>
      <w:r>
        <w:rPr>
          <w:rFonts w:ascii="Arial" w:hAnsi="Arial"/>
          <w:color w:val="000000"/>
          <w:spacing w:val="-3"/>
          <w:sz w:val="20"/>
          <w:lang w:val="cs-CZ"/>
        </w:rPr>
        <w:t>platí s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>mlouva jen mezi stranami, které ji uzavřely.</w:t>
      </w:r>
    </w:p>
    <w:p w14:paraId="55187C6D" w14:textId="77777777" w:rsidR="00A9211E" w:rsidRDefault="00A9211E" w:rsidP="00F3712B">
      <w:pPr>
        <w:jc w:val="both"/>
        <w:sectPr w:rsidR="00A9211E">
          <w:pgSz w:w="11918" w:h="16854"/>
          <w:pgMar w:top="596" w:right="496" w:bottom="1528" w:left="562" w:header="720" w:footer="720" w:gutter="0"/>
          <w:cols w:space="708"/>
        </w:sectPr>
      </w:pPr>
    </w:p>
    <w:p w14:paraId="276A41CF" w14:textId="77777777" w:rsidR="00A9211E" w:rsidRDefault="00000000" w:rsidP="00572B98">
      <w:pPr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lastRenderedPageBreak/>
        <w:t>V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. Ochrana osobních údajů</w:t>
      </w:r>
    </w:p>
    <w:p w14:paraId="326B5E5E" w14:textId="77777777" w:rsidR="00A9211E" w:rsidRDefault="00000000" w:rsidP="00F3712B">
      <w:pPr>
        <w:numPr>
          <w:ilvl w:val="0"/>
          <w:numId w:val="6"/>
        </w:numPr>
        <w:tabs>
          <w:tab w:val="clear" w:pos="360"/>
          <w:tab w:val="decimal" w:pos="432"/>
        </w:tabs>
        <w:spacing w:before="108"/>
        <w:ind w:left="0" w:firstLine="72"/>
        <w:jc w:val="both"/>
        <w:rPr>
          <w:rFonts w:ascii="Arial" w:hAnsi="Arial"/>
          <w:color w:val="000000"/>
          <w:spacing w:val="10"/>
          <w:w w:val="105"/>
          <w:sz w:val="20"/>
          <w:lang w:val="cs-CZ"/>
        </w:rPr>
      </w:pPr>
      <w:r>
        <w:rPr>
          <w:rFonts w:ascii="Arial" w:hAnsi="Arial"/>
          <w:color w:val="000000"/>
          <w:spacing w:val="10"/>
          <w:w w:val="105"/>
          <w:sz w:val="20"/>
          <w:lang w:val="cs-CZ"/>
        </w:rPr>
        <w:t xml:space="preserve">Dodavatel prohlašuje, že veškeré osobní údaje o odběrateli, resp. jeho zástupci, budou zpracovány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 xml:space="preserve">pro účely uvedené v ustanovení § 5 odst. 2 písm. a), b) a e) zákona č. 101/2000 Sb., o ochraně osobních údajů,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ve znění pozdějších předpisů, tedy:</w:t>
      </w:r>
    </w:p>
    <w:p w14:paraId="5C101084" w14:textId="124695C2" w:rsidR="00A9211E" w:rsidRPr="00F3712B" w:rsidRDefault="00F3712B" w:rsidP="00F3712B">
      <w:pPr>
        <w:spacing w:before="252"/>
        <w:ind w:left="360"/>
        <w:jc w:val="both"/>
        <w:rPr>
          <w:rFonts w:ascii="Verdana" w:hAnsi="Verdana"/>
          <w:color w:val="000000"/>
          <w:spacing w:val="2"/>
          <w:sz w:val="6"/>
          <w:vertAlign w:val="superscript"/>
          <w:lang w:val="cs-CZ"/>
        </w:rPr>
      </w:pPr>
      <w:r>
        <w:rPr>
          <w:rFonts w:ascii="Verdana" w:hAnsi="Verdana"/>
          <w:color w:val="000000"/>
          <w:spacing w:val="2"/>
          <w:sz w:val="6"/>
          <w:vertAlign w:val="superscript"/>
          <w:lang w:val="cs-CZ"/>
        </w:rPr>
        <w:t>- -</w:t>
      </w:r>
      <w:r>
        <w:rPr>
          <w:rFonts w:ascii="Verdana" w:hAnsi="Verdana"/>
          <w:color w:val="000000"/>
          <w:spacing w:val="2"/>
          <w:sz w:val="6"/>
          <w:lang w:val="cs-CZ"/>
        </w:rPr>
        <w:t xml:space="preserve">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>pro dodržení právní povinnosti dodavatele,</w:t>
      </w:r>
    </w:p>
    <w:p w14:paraId="6F568605" w14:textId="205E40F0" w:rsidR="00A9211E" w:rsidRDefault="00000000" w:rsidP="00F3712B">
      <w:pPr>
        <w:ind w:left="720" w:hanging="360"/>
        <w:jc w:val="both"/>
        <w:rPr>
          <w:rFonts w:ascii="Verdana" w:hAnsi="Verdana"/>
          <w:color w:val="000000"/>
          <w:spacing w:val="-1"/>
          <w:sz w:val="6"/>
          <w:lang w:val="cs-CZ"/>
        </w:rPr>
      </w:pPr>
      <w:r>
        <w:rPr>
          <w:rFonts w:ascii="Verdana" w:hAnsi="Verdana"/>
          <w:color w:val="000000"/>
          <w:spacing w:val="-1"/>
          <w:sz w:val="6"/>
          <w:lang w:val="cs-CZ"/>
        </w:rPr>
        <w:t xml:space="preserve">-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>pro účely plnění této smlouvy, nebo pro jednání o uzavření nebo změně této smlouvy uskutečněné na návrh</w:t>
      </w:r>
      <w:r w:rsidR="00F3712B"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odběratele,</w:t>
      </w:r>
    </w:p>
    <w:p w14:paraId="6560677F" w14:textId="77777777" w:rsidR="00A9211E" w:rsidRDefault="00000000" w:rsidP="00F3712B">
      <w:pPr>
        <w:jc w:val="both"/>
        <w:rPr>
          <w:rFonts w:ascii="Verdana" w:hAnsi="Verdana"/>
          <w:color w:val="000000"/>
          <w:spacing w:val="-2"/>
          <w:sz w:val="6"/>
          <w:lang w:val="cs-CZ"/>
        </w:rPr>
      </w:pPr>
      <w:r>
        <w:rPr>
          <w:rFonts w:ascii="Verdana" w:hAnsi="Verdana"/>
          <w:color w:val="000000"/>
          <w:spacing w:val="-2"/>
          <w:sz w:val="6"/>
          <w:lang w:val="cs-CZ"/>
        </w:rPr>
        <w:t xml:space="preserve">-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pokud je to nezbytné pro ochranu práv a právem chráněných zájmů dodavatele, příjemce nebo jiné dotčené osoby.</w:t>
      </w:r>
    </w:p>
    <w:p w14:paraId="3E6F72BD" w14:textId="77777777" w:rsidR="00A9211E" w:rsidRDefault="00000000" w:rsidP="00F3712B">
      <w:pPr>
        <w:spacing w:before="288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Odběratel bere tímto na vědomí, že pro takto stanovené účely nevyžaduje zpracování osobních údajů jeho souhlas. 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Poskytnutí osobních údajů je dobrovolné, pro účely uzavření smlouvy je však nezbytné předání jména, příjmení, data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narození, adresy trvalého pobytu odběratele a adresy odběrného místa. Odběratel je povinen jakékoliv změny předaných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osobních údajů dodavateli ihned ohlásit. Odběratel souhlasí s tím, že osobní údaje mohou být zpřístupněny vlastníkovi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vodovodu a kanalizace, a to výlučně v souladu s výše uvedenými účely.</w:t>
      </w:r>
    </w:p>
    <w:p w14:paraId="5491A350" w14:textId="77777777" w:rsidR="00A9211E" w:rsidRDefault="00000000" w:rsidP="00F3712B">
      <w:pPr>
        <w:numPr>
          <w:ilvl w:val="0"/>
          <w:numId w:val="6"/>
        </w:numPr>
        <w:spacing w:before="72"/>
        <w:ind w:left="0" w:firstLine="7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Odběratel tímto dává dle ustanovení § 13c odst. 1 písm. c) zákona č. 133/2000 Sb., o evidenci obyvatel, ve znění pozdějších předpisů, dodavateli souhlas k využití svého rodného čísla, a to pro účely plnění této smlouvy.</w:t>
      </w:r>
    </w:p>
    <w:p w14:paraId="7233080E" w14:textId="77777777" w:rsidR="00A9211E" w:rsidRDefault="00000000" w:rsidP="00572B98">
      <w:pPr>
        <w:spacing w:before="144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VI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. Ustanovení na ochranu spotřebitele</w:t>
      </w:r>
    </w:p>
    <w:p w14:paraId="2AC8F2AE" w14:textId="77777777" w:rsidR="00A9211E" w:rsidRDefault="00000000" w:rsidP="00F3712B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0" w:firstLine="72"/>
        <w:jc w:val="both"/>
        <w:rPr>
          <w:rFonts w:ascii="Arial" w:hAnsi="Arial"/>
          <w:color w:val="000000"/>
          <w:spacing w:val="3"/>
          <w:w w:val="105"/>
          <w:sz w:val="20"/>
          <w:lang w:val="cs-CZ"/>
        </w:rPr>
      </w:pPr>
      <w:r>
        <w:rPr>
          <w:rFonts w:ascii="Arial" w:hAnsi="Arial"/>
          <w:color w:val="000000"/>
          <w:spacing w:val="3"/>
          <w:w w:val="105"/>
          <w:sz w:val="20"/>
          <w:lang w:val="cs-CZ"/>
        </w:rPr>
        <w:t xml:space="preserve">Odběratel, který je spotřebitelem, prohlašuje, že v případě předjímaném ustanovením § 1820 odst. 1 zákona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č. 89/2012 Sb., občanský zákoník, v platném znění (dále jen „NOZ“), jej dodavatel před uzavřením smlouvy seznámil se všemi informacemi specifikovanými v tomto ustanovení, když uvedl, že:</w:t>
      </w:r>
    </w:p>
    <w:p w14:paraId="7A12BEC5" w14:textId="77777777" w:rsidR="00A9211E" w:rsidRDefault="00000000" w:rsidP="00F3712B">
      <w:pPr>
        <w:spacing w:before="144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- odběratel je povinen hradit zálohy,</w:t>
      </w:r>
    </w:p>
    <w:p w14:paraId="3C2D894C" w14:textId="77777777" w:rsidR="00A9211E" w:rsidRDefault="00000000" w:rsidP="00F3712B">
      <w:pPr>
        <w:spacing w:before="144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- smlouva je uzavírána na dobu neurčitou a zavazuje smluvní strany po celou dobu její platnosti,</w:t>
      </w:r>
    </w:p>
    <w:p w14:paraId="39F8FAA8" w14:textId="77777777" w:rsidR="00A9211E" w:rsidRDefault="00000000" w:rsidP="00F3712B">
      <w:pPr>
        <w:spacing w:before="144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- smlouva obsahuje v článku VII údaje o způsobu určení ceny, přičemž v ceně pro vodné a stočné jsou vždy zahrnuty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veškeré daně, poplatky a náklady,</w:t>
      </w:r>
    </w:p>
    <w:p w14:paraId="1FB4D4E7" w14:textId="47ECB74E" w:rsidR="00A9211E" w:rsidRDefault="00000000" w:rsidP="00F3712B">
      <w:pPr>
        <w:spacing w:before="144"/>
        <w:jc w:val="both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- odběratel, který je spotřebitelem, má právo odstoupit od smlouvy, a to ve lhůtě 14 dnů ode dne podpisu smlouvy.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Odstoupení od smlouvy musí být písemné a musí být odesláno dodavateli na adresu jeho sídla ve výše uvedené lhůt</w:t>
      </w:r>
      <w:r w:rsidR="00F3712B">
        <w:rPr>
          <w:rFonts w:ascii="Arial" w:hAnsi="Arial"/>
          <w:color w:val="000000"/>
          <w:spacing w:val="-5"/>
          <w:w w:val="105"/>
          <w:sz w:val="20"/>
          <w:lang w:val="cs-CZ"/>
        </w:rPr>
        <w:t>ě.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 Odběratel je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 případě odstoupení povinen uhradit cenu za již dodanou vodu a za již poskytnuté služby odvádění odpadních vod,</w:t>
      </w:r>
    </w:p>
    <w:p w14:paraId="77585B89" w14:textId="77777777" w:rsidR="00A9211E" w:rsidRDefault="00000000" w:rsidP="00F3712B">
      <w:pPr>
        <w:spacing w:before="144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- pokud jde o podmínky mimosoudního vyřizování stížností spotřebitelů, jsou uvedeny v reklamačním řádu dodavatele</w:t>
      </w:r>
    </w:p>
    <w:p w14:paraId="13BC8AC3" w14:textId="77777777" w:rsidR="00A9211E" w:rsidRDefault="00000000" w:rsidP="00F3712B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0" w:firstLine="72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Odběratel výslovně uvádí, že žádá dodavatele o zahájení poskytování služeb dle této smlouvy ke dni nabytí účinnosti této smlouvy. Odběratel nemá právo odstoupit od smlouvy, pokud jde o takto poskytnuté služby.</w:t>
      </w:r>
    </w:p>
    <w:p w14:paraId="43241536" w14:textId="77777777" w:rsidR="00A9211E" w:rsidRDefault="00000000" w:rsidP="00572B98">
      <w:pPr>
        <w:spacing w:before="144" w:line="208" w:lineRule="auto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VII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. Ustanovení závěrečná</w:t>
      </w:r>
    </w:p>
    <w:p w14:paraId="5A4E7F33" w14:textId="3559760F" w:rsidR="00A9211E" w:rsidRDefault="00000000" w:rsidP="00F3712B">
      <w:pPr>
        <w:spacing w:before="108" w:after="396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Smluvní strany se dohodly, že pro případ vzniku jejich vzájemných závazků souvisejících s předmětem této smlouvy se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použije ceník prací a výkonů, jehož aktuální znění je k dispozici u dodavatele.</w:t>
      </w:r>
    </w:p>
    <w:p w14:paraId="2601CAEE" w14:textId="447C25DF" w:rsidR="00647B1C" w:rsidRPr="00647B1C" w:rsidRDefault="00647B1C" w:rsidP="00647B1C">
      <w:pPr>
        <w:jc w:val="both"/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</w:pPr>
      <w:r w:rsidRPr="00647B1C"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  <w:t>Město Rožmitál pod Třemšínem, vodní hospodářství, Bezděkovská 109, 262 42 Rožmitál pod Třemšínem</w:t>
      </w:r>
    </w:p>
    <w:p w14:paraId="60D87E20" w14:textId="26ACEFDB" w:rsidR="00647B1C" w:rsidRDefault="00647B1C" w:rsidP="00647B1C">
      <w:pPr>
        <w:jc w:val="both"/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</w:pPr>
      <w:r w:rsidRPr="00647B1C"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  <w:t>Tel.: 318 665 539, 702 213</w:t>
      </w:r>
      <w:r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  <w:t> </w:t>
      </w:r>
      <w:r w:rsidRPr="00647B1C"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  <w:t>190</w:t>
      </w:r>
    </w:p>
    <w:p w14:paraId="02BE8A18" w14:textId="77777777" w:rsidR="00647B1C" w:rsidRPr="00647B1C" w:rsidRDefault="00647B1C" w:rsidP="00647B1C">
      <w:pPr>
        <w:jc w:val="both"/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</w:pPr>
    </w:p>
    <w:p w14:paraId="6A6BB4ED" w14:textId="57900023" w:rsidR="00647B1C" w:rsidRPr="00647B1C" w:rsidRDefault="00647B1C" w:rsidP="00647B1C">
      <w:pPr>
        <w:jc w:val="both"/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</w:pPr>
      <w:r w:rsidRPr="00647B1C">
        <w:rPr>
          <w:rFonts w:ascii="Arial" w:hAnsi="Arial"/>
          <w:b/>
          <w:bCs/>
          <w:color w:val="000000"/>
          <w:spacing w:val="-4"/>
          <w:w w:val="105"/>
          <w:sz w:val="20"/>
          <w:lang w:val="cs-CZ"/>
        </w:rPr>
        <w:t>www.rozmitalptr.cz</w:t>
      </w:r>
    </w:p>
    <w:p w14:paraId="1B8BB5B4" w14:textId="77777777" w:rsidR="00647B1C" w:rsidRDefault="00647B1C" w:rsidP="00F3712B">
      <w:pPr>
        <w:spacing w:before="108" w:after="396"/>
        <w:jc w:val="both"/>
        <w:rPr>
          <w:rFonts w:ascii="Arial" w:hAnsi="Arial"/>
          <w:color w:val="000000"/>
          <w:spacing w:val="-6"/>
          <w:w w:val="105"/>
          <w:sz w:val="20"/>
          <w:lang w:val="cs-CZ"/>
        </w:rPr>
      </w:pPr>
    </w:p>
    <w:p w14:paraId="11DBE2E6" w14:textId="56EF7200" w:rsidR="00F3712B" w:rsidRDefault="00F3712B" w:rsidP="00647B1C">
      <w:pPr>
        <w:ind w:left="2" w:right="7672"/>
        <w:jc w:val="both"/>
      </w:pPr>
    </w:p>
    <w:p w14:paraId="7137DE3F" w14:textId="77777777" w:rsidR="00647B1C" w:rsidRDefault="00647B1C" w:rsidP="00647B1C">
      <w:pPr>
        <w:ind w:left="2" w:right="7672"/>
        <w:jc w:val="both"/>
      </w:pPr>
    </w:p>
    <w:p w14:paraId="08C42CF1" w14:textId="169741F8" w:rsidR="00647B1C" w:rsidRDefault="00647B1C" w:rsidP="00647B1C">
      <w:pPr>
        <w:ind w:left="2" w:right="7672"/>
        <w:jc w:val="both"/>
      </w:pPr>
    </w:p>
    <w:p w14:paraId="48E9EEED" w14:textId="77777777" w:rsidR="00647B1C" w:rsidRDefault="00647B1C" w:rsidP="00647B1C">
      <w:pPr>
        <w:ind w:left="2" w:right="7672"/>
        <w:jc w:val="both"/>
      </w:pPr>
    </w:p>
    <w:p w14:paraId="32ACF06F" w14:textId="77777777" w:rsidR="00647B1C" w:rsidRDefault="00647B1C" w:rsidP="00647B1C">
      <w:pPr>
        <w:ind w:left="2" w:right="7672"/>
        <w:jc w:val="both"/>
      </w:pPr>
    </w:p>
    <w:p w14:paraId="5B80008F" w14:textId="77777777" w:rsidR="00647B1C" w:rsidRDefault="00647B1C" w:rsidP="00647B1C">
      <w:pPr>
        <w:ind w:left="2" w:right="7672"/>
        <w:jc w:val="both"/>
      </w:pPr>
    </w:p>
    <w:p w14:paraId="6688EC75" w14:textId="77777777" w:rsidR="00647B1C" w:rsidRDefault="00647B1C" w:rsidP="00647B1C">
      <w:pPr>
        <w:ind w:left="2" w:right="7672"/>
        <w:jc w:val="both"/>
      </w:pPr>
    </w:p>
    <w:p w14:paraId="23B4C469" w14:textId="77777777" w:rsidR="00647B1C" w:rsidRDefault="00647B1C" w:rsidP="00647B1C">
      <w:pPr>
        <w:ind w:left="2" w:right="7672"/>
        <w:jc w:val="both"/>
      </w:pPr>
    </w:p>
    <w:p w14:paraId="68526863" w14:textId="77777777" w:rsidR="00647B1C" w:rsidRDefault="00647B1C" w:rsidP="00647B1C">
      <w:pPr>
        <w:ind w:left="2" w:right="7672"/>
        <w:jc w:val="both"/>
      </w:pPr>
    </w:p>
    <w:p w14:paraId="69A13522" w14:textId="77777777" w:rsidR="00647B1C" w:rsidRDefault="00647B1C" w:rsidP="00647B1C">
      <w:pPr>
        <w:ind w:left="2" w:right="7672"/>
        <w:jc w:val="both"/>
      </w:pPr>
    </w:p>
    <w:p w14:paraId="4EB74409" w14:textId="205A4017" w:rsidR="00F3712B" w:rsidRDefault="00F3712B" w:rsidP="00F3712B">
      <w:pPr>
        <w:spacing w:line="213" w:lineRule="exact"/>
        <w:ind w:right="9216"/>
        <w:jc w:val="both"/>
        <w:rPr>
          <w:rFonts w:ascii="Arial" w:hAnsi="Arial"/>
          <w:color w:val="0000FF"/>
          <w:spacing w:val="-4"/>
          <w:w w:val="105"/>
          <w:sz w:val="20"/>
          <w:u w:val="single"/>
          <w:lang w:val="cs-CZ"/>
        </w:rPr>
      </w:pPr>
    </w:p>
    <w:p w14:paraId="20E048CF" w14:textId="77777777" w:rsidR="00F3712B" w:rsidRDefault="00F3712B" w:rsidP="00F3712B">
      <w:pPr>
        <w:spacing w:line="213" w:lineRule="exact"/>
        <w:ind w:right="9216"/>
        <w:jc w:val="both"/>
        <w:rPr>
          <w:rFonts w:ascii="Arial" w:hAnsi="Arial"/>
          <w:color w:val="0000FF"/>
          <w:spacing w:val="-4"/>
          <w:w w:val="105"/>
          <w:sz w:val="20"/>
          <w:u w:val="single"/>
          <w:lang w:val="cs-CZ"/>
        </w:rPr>
      </w:pPr>
    </w:p>
    <w:p w14:paraId="14E3DB29" w14:textId="77777777" w:rsidR="00F3712B" w:rsidRDefault="00F3712B" w:rsidP="00F3712B">
      <w:pPr>
        <w:spacing w:line="213" w:lineRule="exact"/>
        <w:ind w:right="9216"/>
        <w:jc w:val="both"/>
        <w:rPr>
          <w:rFonts w:ascii="Arial" w:hAnsi="Arial"/>
          <w:color w:val="0000FF"/>
          <w:spacing w:val="-4"/>
          <w:w w:val="105"/>
          <w:sz w:val="20"/>
          <w:u w:val="single"/>
          <w:lang w:val="cs-CZ"/>
        </w:rPr>
      </w:pPr>
    </w:p>
    <w:p w14:paraId="42B8EC40" w14:textId="77777777" w:rsidR="00F3712B" w:rsidRDefault="00F3712B" w:rsidP="00F3712B">
      <w:pPr>
        <w:spacing w:line="213" w:lineRule="exact"/>
        <w:ind w:right="9216"/>
        <w:jc w:val="both"/>
        <w:rPr>
          <w:rFonts w:ascii="Arial" w:hAnsi="Arial"/>
          <w:color w:val="0000FF"/>
          <w:spacing w:val="-4"/>
          <w:w w:val="105"/>
          <w:sz w:val="20"/>
          <w:u w:val="single"/>
          <w:lang w:val="cs-CZ"/>
        </w:rPr>
      </w:pPr>
    </w:p>
    <w:p w14:paraId="7B2AB2A0" w14:textId="785EDFCE" w:rsidR="00F3712B" w:rsidRPr="00F3712B" w:rsidRDefault="00F3712B" w:rsidP="00F3712B">
      <w:pPr>
        <w:spacing w:line="213" w:lineRule="exact"/>
        <w:ind w:right="9216"/>
        <w:rPr>
          <w:rFonts w:ascii="Arial" w:hAnsi="Arial"/>
          <w:color w:val="0000FF"/>
          <w:spacing w:val="-4"/>
          <w:w w:val="105"/>
          <w:sz w:val="20"/>
          <w:u w:val="single"/>
          <w:lang w:val="cs-CZ"/>
        </w:rPr>
      </w:pPr>
    </w:p>
    <w:sectPr w:rsidR="00F3712B" w:rsidRPr="00F3712B">
      <w:pgSz w:w="11918" w:h="16854"/>
      <w:pgMar w:top="596" w:right="495" w:bottom="4048" w:left="5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023"/>
    <w:multiLevelType w:val="multilevel"/>
    <w:tmpl w:val="50B495C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E0705"/>
    <w:multiLevelType w:val="multilevel"/>
    <w:tmpl w:val="0942990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5435E"/>
    <w:multiLevelType w:val="multilevel"/>
    <w:tmpl w:val="47FE30EA"/>
    <w:lvl w:ilvl="0">
      <w:start w:val="1"/>
      <w:numFmt w:val="decimal"/>
      <w:lvlText w:val="%1."/>
      <w:lvlJc w:val="left"/>
      <w:pPr>
        <w:tabs>
          <w:tab w:val="decimal" w:pos="4883"/>
        </w:tabs>
        <w:ind w:left="5387"/>
      </w:pPr>
      <w:rPr>
        <w:rFonts w:ascii="Arial" w:hAnsi="Arial"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71D76"/>
    <w:multiLevelType w:val="multilevel"/>
    <w:tmpl w:val="EA4E48D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72AE2"/>
    <w:multiLevelType w:val="multilevel"/>
    <w:tmpl w:val="AC2CA908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6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F4D36"/>
    <w:multiLevelType w:val="multilevel"/>
    <w:tmpl w:val="AAB686F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5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EF23F0"/>
    <w:multiLevelType w:val="multilevel"/>
    <w:tmpl w:val="BBAA099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07605">
    <w:abstractNumId w:val="3"/>
  </w:num>
  <w:num w:numId="2" w16cid:durableId="427164605">
    <w:abstractNumId w:val="2"/>
  </w:num>
  <w:num w:numId="3" w16cid:durableId="2040353790">
    <w:abstractNumId w:val="6"/>
  </w:num>
  <w:num w:numId="4" w16cid:durableId="955597471">
    <w:abstractNumId w:val="4"/>
  </w:num>
  <w:num w:numId="5" w16cid:durableId="2026206991">
    <w:abstractNumId w:val="5"/>
  </w:num>
  <w:num w:numId="6" w16cid:durableId="2119526521">
    <w:abstractNumId w:val="1"/>
  </w:num>
  <w:num w:numId="7" w16cid:durableId="8423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1E"/>
    <w:rsid w:val="0013339B"/>
    <w:rsid w:val="003B1B0A"/>
    <w:rsid w:val="00572B98"/>
    <w:rsid w:val="00647B1C"/>
    <w:rsid w:val="00A9211E"/>
    <w:rsid w:val="00E928A2"/>
    <w:rsid w:val="00F3712B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B2C5"/>
  <w15:docId w15:val="{36AECD94-365A-44E7-9DE9-52B6203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71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71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4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UCT</cp:lastModifiedBy>
  <cp:revision>8</cp:revision>
  <cp:lastPrinted>2023-06-05T07:05:00Z</cp:lastPrinted>
  <dcterms:created xsi:type="dcterms:W3CDTF">2023-05-31T08:05:00Z</dcterms:created>
  <dcterms:modified xsi:type="dcterms:W3CDTF">2023-06-05T07:05:00Z</dcterms:modified>
</cp:coreProperties>
</file>